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5B7F2E" w:rsidRPr="005B7F2E">
        <w:rPr>
          <w:rFonts w:ascii="Verdana" w:hAnsi="Verdana" w:cs="Arial"/>
          <w:b/>
          <w:sz w:val="16"/>
          <w:szCs w:val="16"/>
        </w:rPr>
        <w:t>agronomia@cidecuador.org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715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337"/>
        <w:gridCol w:w="574"/>
      </w:tblGrid>
      <w:tr w:rsidR="00E724C9" w:rsidRPr="00062EBC" w:rsidTr="004144D6">
        <w:trPr>
          <w:gridBefore w:val="1"/>
          <w:gridAfter w:val="2"/>
          <w:wBefore w:w="87" w:type="dxa"/>
          <w:wAfter w:w="6911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E724C9" w:rsidRPr="00062EBC" w:rsidTr="004144D6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5B7F2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Genética y reproducción animal en grandes animales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7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Cirugía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en grandes y pequeños animales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7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Laparoscopia en animales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7F2E" w:rsidRPr="00062EBC" w:rsidTr="004144D6">
        <w:trPr>
          <w:trHeight w:val="27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F2E" w:rsidRPr="00062EBC" w:rsidRDefault="005B7F2E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F2E" w:rsidRPr="005B7F2E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Cardiología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7F2E" w:rsidRPr="00062EBC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8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Oncología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6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Necropsia en grandes y pequeñas especies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Hidatidosis: medidas de diagnóstico y prevención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Fisiopatología, farmacología y toxicología veterinaria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bookmarkStart w:id="0" w:name="_GoBack"/>
        <w:bookmarkEnd w:id="0"/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Salud Publica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Proyecto de Brucelosis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Programa de Control de Rabia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Influenza Aviar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Vigilancia BSE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4144D6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5B7F2E" w:rsidP="005B7F2E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B7F2E">
              <w:rPr>
                <w:rFonts w:ascii="Verdana" w:eastAsia="Arial Unicode MS" w:hAnsi="Verdana"/>
                <w:b/>
                <w:sz w:val="18"/>
                <w:szCs w:val="18"/>
              </w:rPr>
              <w:t>Enfermedad Valvular degenerativa Crónica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7F2E">
      <w:headerReference w:type="default" r:id="rId10"/>
      <w:footerReference w:type="default" r:id="rId11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C3" w:rsidRDefault="001422C3">
      <w:r>
        <w:separator/>
      </w:r>
    </w:p>
  </w:endnote>
  <w:endnote w:type="continuationSeparator" w:id="0">
    <w:p w:rsidR="001422C3" w:rsidRDefault="001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2E" w:rsidRPr="005B7F2E" w:rsidRDefault="005B7F2E" w:rsidP="005B7F2E">
    <w:pPr>
      <w:pStyle w:val="Piedepgina"/>
      <w:ind w:left="-993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X CONGRESO INTERNACIONAL DE MEDICINA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VETERINARIA Y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ZOOTECNIA, en especies mayores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y menores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- 100% Virtual</w:t>
    </w:r>
  </w:p>
  <w:p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E-mail: agronomia@cidecuador.org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C3" w:rsidRDefault="001422C3">
      <w:r>
        <w:separator/>
      </w:r>
    </w:p>
  </w:footnote>
  <w:footnote w:type="continuationSeparator" w:id="0">
    <w:p w:rsidR="001422C3" w:rsidRDefault="0014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5B7F2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0D063" wp14:editId="1AC741D4">
          <wp:simplePos x="0" y="0"/>
          <wp:positionH relativeFrom="column">
            <wp:posOffset>-1273175</wp:posOffset>
          </wp:positionH>
          <wp:positionV relativeFrom="paragraph">
            <wp:posOffset>-462915</wp:posOffset>
          </wp:positionV>
          <wp:extent cx="7569200" cy="13589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TERINARIA-encabez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03" cy="1361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6464-1E84-47A4-8B22-3FD6E552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1749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12</cp:revision>
  <cp:lastPrinted>2008-11-06T13:48:00Z</cp:lastPrinted>
  <dcterms:created xsi:type="dcterms:W3CDTF">2019-08-02T21:29:00Z</dcterms:created>
  <dcterms:modified xsi:type="dcterms:W3CDTF">2020-05-11T22:42:00Z</dcterms:modified>
</cp:coreProperties>
</file>