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996"/>
        </w:tabs>
        <w:spacing w:before="73" w:lineRule="auto"/>
        <w:ind w:left="2277" w:firstLine="0"/>
        <w:rPr>
          <w:rFonts w:ascii="Rockwell" w:cs="Rockwell" w:eastAsia="Rockwell" w:hAnsi="Rockwell"/>
          <w:b w:val="1"/>
          <w:i w:val="0"/>
          <w:color w:val="933634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Rockwell" w:cs="Rockwell" w:eastAsia="Rockwell" w:hAnsi="Rockwell"/>
          <w:b w:val="1"/>
          <w:i w:val="0"/>
          <w:sz w:val="44"/>
          <w:szCs w:val="44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1"/>
          <w:color w:val="933634"/>
          <w:sz w:val="44"/>
          <w:szCs w:val="44"/>
          <w:vertAlign w:val="baseline"/>
          <w:rtl w:val="0"/>
        </w:rPr>
        <w:t xml:space="preserve">CONGRESO INTERNACIONAL DE ECONOMIA, CONTABILIDAD Y ADMINISTRACION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57"/>
          <w:szCs w:val="5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980" w:right="877" w:firstLine="0"/>
        <w:jc w:val="center"/>
        <w:rPr>
          <w:rFonts w:ascii="Rockwell" w:cs="Rockwell" w:eastAsia="Rockwell" w:hAnsi="Rockwell"/>
          <w:b w:val="1"/>
          <w:i w:val="0"/>
          <w:sz w:val="33"/>
          <w:szCs w:val="33"/>
          <w:vertAlign w:val="baseline"/>
        </w:rPr>
        <w:sectPr>
          <w:pgSz w:h="16850" w:w="11900" w:orient="portrait"/>
          <w:pgMar w:bottom="280" w:top="700" w:left="620" w:right="860" w:header="720" w:footer="720"/>
          <w:pgNumType w:start="1"/>
          <w:titlePg w:val="1"/>
        </w:sectPr>
      </w:pPr>
      <w:r w:rsidDel="00000000" w:rsidR="00000000" w:rsidRPr="00000000">
        <w:rPr>
          <w:rFonts w:ascii="Rockwell" w:cs="Rockwell" w:eastAsia="Rockwell" w:hAnsi="Rockwell"/>
          <w:b w:val="1"/>
          <w:i w:val="1"/>
          <w:color w:val="933634"/>
          <w:sz w:val="33"/>
          <w:szCs w:val="33"/>
          <w:vertAlign w:val="baseline"/>
          <w:rtl w:val="0"/>
        </w:rPr>
        <w:t xml:space="preserve">14, 15 y 16 de junio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365" w:right="0" w:hanging="348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DENOMINACÍÓN DEL EVENTO: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88900</wp:posOffset>
                </wp:positionV>
                <wp:extent cx="5664835" cy="48323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18345" y="3543145"/>
                          <a:ext cx="5655310" cy="47371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15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CONGRESO INTERNACIONAL DE ECONOMIA, CONTABILIDAD Y ADMINISTRACION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88900</wp:posOffset>
                </wp:positionV>
                <wp:extent cx="5664835" cy="48323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835" cy="483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100" w:line="240" w:lineRule="auto"/>
        <w:ind w:left="1365" w:right="0" w:hanging="34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PRESENTACION: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139700</wp:posOffset>
                </wp:positionV>
                <wp:extent cx="5654040" cy="221551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3743" y="2677005"/>
                          <a:ext cx="5644515" cy="22059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3.00000190734863" w:right="98.9999961853027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 Centro de Investigación y Desarrollo Ecuador (CIDE), el Centro de Estudios Transdisciplinarios (CET) Bolivia y la Universidad Técnica de Cotopaxi,  convocan a todos los profesionales y estudiantes de Cs. Administrativas, económicas y carreras afines a nivel nacional e internacional a participar en el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CONGRESO INTERNACIONAL DE ECONOMIA, CONTABILIDAD Y ADMINISTRACION,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que se llevará a cabo los días 14, 15 y 16 de junio 2021, 100% online a través de la plataforma zoom.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103.00000190734863" w:right="101.0000038146972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Este Congreso es un espacio de intercambio sobre las prácticas, metodologías, conocimientos e investigaciones en el ámbito de la Cs. Administrativas. Surge con el fin de debatir las temáticas más relevantes del área que adquieren principal importancia en la actualidad.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139700</wp:posOffset>
                </wp:positionV>
                <wp:extent cx="5654040" cy="221551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4040" cy="2215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76" w:lineRule="auto"/>
        <w:ind w:left="1365" w:right="369" w:hanging="348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tbl>
      <w:tblPr>
        <w:tblStyle w:val="Table1"/>
        <w:tblW w:w="8937.0" w:type="dxa"/>
        <w:jc w:val="left"/>
        <w:tblInd w:w="13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37"/>
        <w:tblGridChange w:id="0">
          <w:tblGrid>
            <w:gridCol w:w="893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0" w:line="276" w:lineRule="auto"/>
              <w:ind w:left="391" w:right="103" w:hanging="288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Aportar gran parte de la formación de profesionales éticos con capacidad para generar, analizar e interpretar información financiera y contable y así poder enfrentar los retos y cambios de las nuevas tendencias en el mundo globalizado, con una actitud emprendedora y visionaria para intervenir en la creación, diseño y desarrollo de organizaciones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0" w:line="276" w:lineRule="auto"/>
              <w:ind w:left="391" w:right="108" w:hanging="288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Facilitar el intercambio de experiencias entre directivos, profesores, estudiantes, consultores e investigadores de las Cs. Administrativas, económicas y la contabilidad, a fin de propiciar la mejora continua de estos procesos.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0" w:line="276" w:lineRule="auto"/>
              <w:ind w:left="391" w:right="113" w:hanging="288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Enmarcar las opciones de crecimiento empresarial que ofrece la dinámica cambiaria, accionaria y de inversión.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73"/>
          <w:tab w:val="left" w:pos="2074"/>
        </w:tabs>
        <w:spacing w:after="0" w:before="1" w:line="240" w:lineRule="auto"/>
        <w:ind w:left="2073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18" w:right="0" w:hanging="4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ALINEACIÓN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73"/>
          <w:tab w:val="left" w:pos="2074"/>
        </w:tabs>
        <w:spacing w:after="0" w:before="1" w:line="240" w:lineRule="auto"/>
        <w:ind w:left="2073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3.0" w:type="dxa"/>
        <w:jc w:val="left"/>
        <w:tblInd w:w="1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3"/>
        <w:tblGridChange w:id="0">
          <w:tblGrid>
            <w:gridCol w:w="9033"/>
          </w:tblGrid>
        </w:tblGridChange>
      </w:tblGrid>
      <w:tr>
        <w:trPr>
          <w:trHeight w:val="1125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Objetivo(s) Desarrollo Sostenible – UNESCO: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Trabajo decente y crecimiento económico – Promover el crecimiento económico sostenido, inclusivo y sostenible, el empleo pleno y productivo y el trabajo decente para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Objetivo(s) Plan Nacional de Desarrollo (Plan Nacional del Buen Vivir) – ECUADOR: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68"/>
                <w:tab w:val="left" w:pos="869"/>
              </w:tabs>
              <w:spacing w:after="0" w:before="0" w:line="240" w:lineRule="auto"/>
              <w:ind w:left="868" w:right="0" w:hanging="40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Consolidar la sostenibilidad del sistema económico social y solidario, y afianzar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82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dolarización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5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Área(s) de Conocimiento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1" w:right="0" w:hanging="34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Administración de la micro, pequeña y mediana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1" w:right="0" w:hanging="34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Administración y sustentabilidad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1" w:right="0" w:hanging="34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Administración de recursos humanos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1" w:right="0" w:hanging="34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Innovación, tecnología y emprendimiento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1" w:right="0" w:hanging="34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Contabilidad y gestión tributaria.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1" w:right="0" w:hanging="34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Contabilidad, gestión e innovación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1" w:right="0" w:hanging="34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Contabilidad y responsabilidad social.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5" w:right="0" w:hanging="34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Coyuntura económica latinoamericana.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5" w:right="0" w:hanging="34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Economía social, desarrollo local y territorial.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5" w:right="0" w:hanging="34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Relaciones económicas internacionales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40" w:lineRule="auto"/>
              <w:ind w:left="815" w:right="0" w:hanging="34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Economía aplicada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1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Línea de Investigación: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5"/>
                <w:tab w:val="left" w:pos="396"/>
              </w:tabs>
              <w:spacing w:after="0" w:before="0" w:line="240" w:lineRule="auto"/>
              <w:ind w:left="39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Contabilidad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5"/>
                <w:tab w:val="left" w:pos="396"/>
              </w:tabs>
              <w:spacing w:after="0" w:before="0" w:line="240" w:lineRule="auto"/>
              <w:ind w:left="39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Cs. administrativas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5"/>
                <w:tab w:val="left" w:pos="396"/>
              </w:tabs>
              <w:spacing w:after="0" w:before="0" w:line="240" w:lineRule="auto"/>
              <w:ind w:left="39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Economía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 Académica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5"/>
                <w:tab w:val="left" w:pos="396"/>
              </w:tabs>
              <w:spacing w:after="0" w:before="0" w:line="240" w:lineRule="auto"/>
              <w:ind w:left="39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Conferencias Magistrales.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5"/>
                <w:tab w:val="left" w:pos="396"/>
              </w:tabs>
              <w:spacing w:after="0" w:before="0" w:line="240" w:lineRule="auto"/>
              <w:ind w:left="39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1209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que publico va dirigido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Investigadores, contadores, administradores, economistas, másteres, estudiantes.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73"/>
          <w:tab w:val="left" w:pos="2074"/>
        </w:tabs>
        <w:spacing w:after="0" w:before="0" w:line="240" w:lineRule="auto"/>
        <w:ind w:left="2073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73"/>
          <w:tab w:val="left" w:pos="2074"/>
        </w:tabs>
        <w:spacing w:after="0" w:before="0" w:line="240" w:lineRule="auto"/>
        <w:ind w:left="2073" w:right="24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65" w:right="0" w:hanging="34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6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1059814</wp:posOffset>
            </wp:positionH>
            <wp:positionV relativeFrom="paragraph">
              <wp:posOffset>142875</wp:posOffset>
            </wp:positionV>
            <wp:extent cx="5182235" cy="110553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1105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397375" cy="181038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07810" y="3200032"/>
                          <a:ext cx="4397375" cy="1810385"/>
                          <a:chOff x="3607810" y="3200032"/>
                          <a:chExt cx="3476380" cy="1159937"/>
                        </a:xfrm>
                      </wpg:grpSpPr>
                      <wpg:grpSp>
                        <wpg:cNvGrpSpPr/>
                        <wpg:grpSpPr>
                          <a:xfrm>
                            <a:off x="3607810" y="3200032"/>
                            <a:ext cx="3476380" cy="1159937"/>
                            <a:chOff x="0" y="778231"/>
                            <a:chExt cx="3476380" cy="11599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778231"/>
                              <a:ext cx="3476375" cy="1159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85468" y="778231"/>
                              <a:ext cx="2145806" cy="200782"/>
                            </a:xfrm>
                            <a:prstGeom prst="rect">
                              <a:avLst/>
                            </a:prstGeom>
                            <a:solidFill>
                              <a:srgbClr val="8064A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948001"/>
                              <a:ext cx="3476380" cy="990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397375" cy="181038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7375" cy="1810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01" w:line="480" w:lineRule="auto"/>
        <w:ind w:left="3725" w:right="3340" w:firstLine="0"/>
        <w:jc w:val="center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CONVOCATORIAS PRESENTACIÓN DE PONENCIAS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99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Centro de Investigación y Desarrollo Ecuador (CIDE), el Centro de Estudios Transdisciplinarios (CET) Bolivia y la Universidad Técnica de Cotopaxi, convocan a todos los profesionales y estudiantes de Cs. Administrativas, económicas y carreras afines a nivel nacional e internacional a participar en la presentación de ponencias en el marco del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CONGRESO INTERNACIONAL DE ECONOMIA, CONTABILIDAD Y ADMINISTRACION,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 llevará a cabo los días 14, 15 y 16 de junio 2021, 100% online a través de la plataforma zoom.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7" w:right="267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66" w:right="877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resúmenes de las ponencias deben ser enviados hasta el 01 junio de 2021 al correo del evento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1" w:right="877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mbria" w:cs="Cambria" w:eastAsia="Cambria" w:hAnsi="Cambria"/>
            <w:b w:val="0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administracion@cidecuador.org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7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a considerar: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  <w:tab w:val="left" w:pos="1018"/>
        </w:tabs>
        <w:spacing w:after="0" w:before="0" w:line="240" w:lineRule="auto"/>
        <w:ind w:left="1017" w:right="0" w:hanging="72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para envío de resúmenes de ponencias: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2" w:line="240" w:lineRule="auto"/>
        <w:ind w:left="1377" w:right="275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resúmenes de las ponencias deben ser enviados en el formato establecido (sin excepción) y que se encuentra publicado en la página web del evento como archivo descargable.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365" w:right="0" w:hanging="34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cantidad máxima de autores permitida para participar en cada ponencia es de 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377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autores.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377" w:right="275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vez recibido el resumen de la ponencia en el formato respectivo, se enviará confirmación de recepción.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365" w:right="0" w:hanging="34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resúmenes son enviados al Comité Académico para su respectiva evaluación.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365" w:right="0" w:hanging="34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evaluaciones del Comité Académico serán: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2" w:line="240" w:lineRule="auto"/>
        <w:ind w:left="1365" w:right="0" w:hanging="34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Aprobado en su totalidad.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365" w:right="0" w:hanging="34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Aprobado con cambios menores.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365" w:right="0" w:hanging="34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Rechazado.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084" w:right="273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resúmenes aprobados con cambios menores tendrán un período máximo de una semana para realizar los ajustes respectivos (sin excepción).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1" w:line="240" w:lineRule="auto"/>
        <w:ind w:left="1377" w:right="868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resúmenes de ponencias serán incluidos en el Libro de Memorias registrado con ISBN.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40" w:lineRule="auto"/>
        <w:ind w:left="1365" w:right="0" w:hanging="34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Libro de Memorias será publicado en la página web del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</w:tabs>
        <w:spacing w:after="0" w:before="0" w:line="240" w:lineRule="auto"/>
        <w:ind w:left="1017" w:right="0" w:hanging="360"/>
        <w:jc w:val="both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para envío de diapositivas para ponencias: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206" w:line="240" w:lineRule="auto"/>
        <w:ind w:left="1084" w:right="27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diapositivas deben ser presentadas en el formato establecido (sin excepción) y que se encuentra publicado en la página web del evento como archivo descargable.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0" w:line="276" w:lineRule="auto"/>
        <w:ind w:left="1084" w:right="276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diapositivas deben ser enviadas con anticipación al correo del evento (No se recibirán diapositivas el día del evento).</w:t>
      </w:r>
      <w:r w:rsidDel="00000000" w:rsidR="00000000" w:rsidRPr="00000000">
        <w:rPr>
          <w:rtl w:val="0"/>
        </w:rPr>
      </w:r>
    </w:p>
    <w:sectPr>
      <w:type w:val="nextPage"/>
      <w:pgSz w:h="16850" w:w="11900" w:orient="portrait"/>
      <w:pgMar w:bottom="280" w:top="1600" w:left="620" w:right="8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Noto Sans Symbols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17" w:hanging="720.9999999999999"/>
      </w:pPr>
      <w:rPr>
        <w:rFonts w:ascii="Cambria" w:cs="Cambria" w:eastAsia="Cambria" w:hAnsi="Cambria"/>
        <w:b w:val="1"/>
        <w:i w:val="1"/>
        <w:sz w:val="24"/>
        <w:szCs w:val="24"/>
        <w:vertAlign w:val="baseline"/>
      </w:rPr>
    </w:lvl>
    <w:lvl w:ilvl="1">
      <w:start w:val="0"/>
      <w:numFmt w:val="bullet"/>
      <w:lvlText w:val="✔"/>
      <w:lvlJc w:val="left"/>
      <w:pPr>
        <w:ind w:left="1377" w:hanging="348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0"/>
      <w:numFmt w:val="bullet"/>
      <w:lvlText w:val="•"/>
      <w:lvlJc w:val="left"/>
      <w:pPr>
        <w:ind w:left="1380" w:hanging="34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740" w:hanging="34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2979" w:hanging="348.0000000000004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219" w:hanging="348.0000000000004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459" w:hanging="34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699" w:hanging="348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39" w:hanging="348"/>
      </w:pPr>
      <w:rPr>
        <w:vertAlign w:val="baseline"/>
      </w:rPr>
    </w:lvl>
  </w:abstractNum>
  <w:abstractNum w:abstractNumId="2">
    <w:lvl w:ilvl="0">
      <w:start w:val="0"/>
      <w:numFmt w:val="bullet"/>
      <w:lvlText w:val="▪"/>
      <w:lvlJc w:val="left"/>
      <w:pPr>
        <w:ind w:left="395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62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2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986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849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711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573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43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298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▪"/>
      <w:lvlJc w:val="left"/>
      <w:pPr>
        <w:ind w:left="391" w:hanging="288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9" w:hanging="287.999999999999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099" w:hanging="28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948" w:hanging="28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798" w:hanging="28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647" w:hanging="28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497" w:hanging="287.999999999999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347" w:hanging="287.999999999999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196" w:hanging="287.9999999999991"/>
      </w:pPr>
      <w:rPr>
        <w:vertAlign w:val="baseline"/>
      </w:rPr>
    </w:lvl>
  </w:abstractNum>
  <w:abstractNum w:abstractNumId="4">
    <w:lvl w:ilvl="0">
      <w:start w:val="0"/>
      <w:numFmt w:val="bullet"/>
      <w:lvlText w:val="▪"/>
      <w:lvlJc w:val="left"/>
      <w:pPr>
        <w:ind w:left="395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62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2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986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849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711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573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43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298" w:hanging="3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365" w:hanging="348"/>
      </w:pPr>
      <w:rPr>
        <w:b w:val="1"/>
        <w:i w:val="1"/>
        <w:vertAlign w:val="baseline"/>
      </w:rPr>
    </w:lvl>
    <w:lvl w:ilvl="1">
      <w:start w:val="0"/>
      <w:numFmt w:val="bullet"/>
      <w:lvlText w:val="•"/>
      <w:lvlJc w:val="left"/>
      <w:pPr>
        <w:ind w:left="2265" w:hanging="348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171" w:hanging="34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077" w:hanging="34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983" w:hanging="34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889" w:hanging="34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795" w:hanging="34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701" w:hanging="347.999999999999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607" w:hanging="348"/>
      </w:pPr>
      <w:rPr>
        <w:vertAlign w:val="baseline"/>
      </w:rPr>
    </w:lvl>
  </w:abstractNum>
  <w:abstractNum w:abstractNumId="6">
    <w:lvl w:ilvl="0">
      <w:start w:val="0"/>
      <w:numFmt w:val="bullet"/>
      <w:lvlText w:val="▪"/>
      <w:lvlJc w:val="left"/>
      <w:pPr>
        <w:ind w:left="815" w:hanging="348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640" w:hanging="348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460" w:hanging="34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280" w:hanging="34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01" w:hanging="34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21" w:hanging="34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741" w:hanging="347.999999999999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562" w:hanging="347.999999999999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382" w:hanging="347.9999999999991"/>
      </w:pPr>
      <w:rPr>
        <w:vertAlign w:val="baseline"/>
      </w:rPr>
    </w:lvl>
  </w:abstractNum>
  <w:abstractNum w:abstractNumId="7">
    <w:lvl w:ilvl="0">
      <w:start w:val="0"/>
      <w:numFmt w:val="bullet"/>
      <w:lvlText w:val="●"/>
      <w:lvlJc w:val="left"/>
      <w:pPr>
        <w:ind w:left="868" w:hanging="401.00000000000006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676" w:hanging="401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492" w:hanging="40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308" w:hanging="40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25" w:hanging="40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41" w:hanging="401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757" w:hanging="40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574" w:hanging="40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390" w:hanging="401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365" w:leftChars="-1" w:rightChars="0" w:firstLineChars="-1"/>
      <w:textDirection w:val="btLr"/>
      <w:textAlignment w:val="top"/>
      <w:outlineLvl w:val="1"/>
    </w:pPr>
    <w:rPr>
      <w:rFonts w:ascii="Cambria" w:cs="Cambria" w:eastAsia="Cambria" w:hAnsi="Cambria"/>
      <w:b w:val="1"/>
      <w:bCs w:val="1"/>
      <w:i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i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365" w:leftChars="-1" w:rightChars="0" w:hanging="348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es-ES" w:eastAsia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es-ES" w:eastAsia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mbria" w:hAnsi="Tahoma"/>
      <w:w w:val="100"/>
      <w:position w:val="-1"/>
      <w:sz w:val="16"/>
      <w:szCs w:val="16"/>
      <w:effect w:val="none"/>
      <w:vertAlign w:val="baseline"/>
      <w:cs w:val="0"/>
      <w:em w:val="none"/>
      <w:lang w:bidi="es-ES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Cambria" w:hAnsi="Tahoma"/>
      <w:w w:val="100"/>
      <w:position w:val="-1"/>
      <w:sz w:val="16"/>
      <w:szCs w:val="16"/>
      <w:effect w:val="none"/>
      <w:vertAlign w:val="baseline"/>
      <w:cs w:val="0"/>
      <w:em w:val="none"/>
      <w:lang w:bidi="es-ES" w:eastAsia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hyperlink" Target="mailto:administracion@cidecuador.org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6JpVAF4Xk62W4FstkYtf2VSGzA==">AMUW2mVAZ7H1NUPOCD1ypOtofqSjlUzLXgL5+ZF3HfW+SQgR49KDMSlNPRHtUlPiyZuuI+BjL1nwH1eYMjAhwSBWFO1pBn/FGG/uXWHO000WoSDj/FIVRxo=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2021-04-06T22:40:00Z</dcterms:created>
  <dc:creator>Usuario de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reated">
    <vt:filetime>2019-02-14T00:00:00Z</vt:filetime>
  </property>
  <property fmtid="{D5CDD505-2E9C-101B-9397-08002B2CF9AE}" pid="4" name="Creator">
    <vt:lpstr>Microsoft® Word 2010</vt:lpstr>
  </property>
  <property fmtid="{D5CDD505-2E9C-101B-9397-08002B2CF9AE}" pid="5" name="LastSaved">
    <vt:filetime>2019-02-19T00:00:00Z</vt:filetime>
  </property>
</Properties>
</file>